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D0CA28" w14:textId="7707B613" w:rsidR="000C0509" w:rsidRPr="00136793" w:rsidRDefault="000C0509" w:rsidP="000C0509">
      <w:pPr>
        <w:tabs>
          <w:tab w:val="right" w:pos="9638"/>
        </w:tabs>
        <w:rPr>
          <w:rFonts w:ascii="Arial" w:eastAsia="SimSun" w:hAnsi="Arial" w:cs="Arial"/>
          <w:b/>
          <w:bCs/>
          <w:sz w:val="24"/>
          <w:szCs w:val="24"/>
          <w:lang w:eastAsia="zh-CN"/>
        </w:rPr>
      </w:pPr>
      <w:r w:rsidRPr="00136793">
        <w:rPr>
          <w:rFonts w:ascii="Arial" w:hAnsi="Arial" w:cs="Arial"/>
          <w:b/>
          <w:bCs/>
          <w:sz w:val="24"/>
          <w:szCs w:val="24"/>
        </w:rPr>
        <w:t>SA WG2 Meeting #1</w:t>
      </w:r>
      <w:r>
        <w:rPr>
          <w:rFonts w:ascii="Arial" w:hAnsi="Arial" w:cs="Arial"/>
          <w:b/>
          <w:bCs/>
          <w:sz w:val="24"/>
          <w:szCs w:val="24"/>
        </w:rPr>
        <w:t>32</w:t>
      </w:r>
      <w:r w:rsidRPr="00136793">
        <w:rPr>
          <w:rFonts w:ascii="Arial" w:hAnsi="Arial" w:cs="Arial"/>
          <w:b/>
          <w:bCs/>
          <w:sz w:val="24"/>
          <w:szCs w:val="24"/>
        </w:rPr>
        <w:tab/>
        <w:t>S2-1</w:t>
      </w:r>
      <w:r>
        <w:rPr>
          <w:rFonts w:ascii="Arial" w:hAnsi="Arial" w:cs="Arial"/>
          <w:b/>
          <w:bCs/>
          <w:sz w:val="24"/>
          <w:szCs w:val="24"/>
        </w:rPr>
        <w:t>90</w:t>
      </w:r>
      <w:r w:rsidR="00C845F7">
        <w:rPr>
          <w:rFonts w:ascii="Arial" w:hAnsi="Arial" w:cs="Arial"/>
          <w:b/>
          <w:bCs/>
          <w:sz w:val="24"/>
          <w:szCs w:val="24"/>
        </w:rPr>
        <w:t>3657</w:t>
      </w:r>
      <w:bookmarkStart w:id="0" w:name="_GoBack"/>
      <w:bookmarkEnd w:id="0"/>
    </w:p>
    <w:p w14:paraId="43E84A8E" w14:textId="77777777" w:rsidR="000C0509" w:rsidRPr="00136793" w:rsidRDefault="000C0509" w:rsidP="000C0509">
      <w:pPr>
        <w:pBdr>
          <w:bottom w:val="single" w:sz="6" w:space="0" w:color="auto"/>
        </w:pBdr>
        <w:tabs>
          <w:tab w:val="right" w:pos="9638"/>
        </w:tabs>
        <w:rPr>
          <w:rFonts w:ascii="Arial" w:hAnsi="Arial" w:cs="Arial"/>
          <w:b/>
          <w:bCs/>
          <w:sz w:val="24"/>
          <w:szCs w:val="24"/>
        </w:rPr>
      </w:pPr>
      <w:r>
        <w:rPr>
          <w:rFonts w:ascii="Arial" w:hAnsi="Arial" w:cs="Arial"/>
          <w:b/>
          <w:bCs/>
          <w:sz w:val="24"/>
        </w:rPr>
        <w:t>08 – 12 April, 2019, Xi’an, PRC</w:t>
      </w:r>
      <w:r w:rsidRPr="00136793">
        <w:rPr>
          <w:rFonts w:ascii="Arial" w:hAnsi="Arial" w:cs="Arial"/>
          <w:b/>
          <w:bCs/>
        </w:rPr>
        <w:tab/>
        <w:t>(</w:t>
      </w:r>
      <w:r w:rsidRPr="00136793">
        <w:rPr>
          <w:rFonts w:ascii="Arial" w:hAnsi="Arial" w:cs="Arial"/>
          <w:b/>
          <w:bCs/>
          <w:color w:val="0000FF"/>
        </w:rPr>
        <w:t>revision of S2-1</w:t>
      </w:r>
      <w:r>
        <w:rPr>
          <w:rFonts w:ascii="Arial" w:hAnsi="Arial" w:cs="Arial"/>
          <w:b/>
          <w:bCs/>
          <w:color w:val="0000FF"/>
        </w:rPr>
        <w:t>90xxxx</w:t>
      </w:r>
      <w:r w:rsidRPr="00136793">
        <w:rPr>
          <w:rFonts w:ascii="Arial" w:hAnsi="Arial" w:cs="Arial"/>
          <w:b/>
          <w:bCs/>
        </w:rPr>
        <w:t>)</w:t>
      </w:r>
    </w:p>
    <w:p w14:paraId="49379CFB" w14:textId="77777777" w:rsidR="00CD4C7B" w:rsidRPr="00B266B0" w:rsidRDefault="00CD4C7B" w:rsidP="00CD4C7B">
      <w:pPr>
        <w:pStyle w:val="Header"/>
        <w:rPr>
          <w:bCs/>
          <w:noProof w:val="0"/>
          <w:sz w:val="24"/>
        </w:rPr>
      </w:pPr>
    </w:p>
    <w:p w14:paraId="758E2B30" w14:textId="00281C1A"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44BF4">
        <w:rPr>
          <w:rFonts w:cs="Arial"/>
          <w:b/>
          <w:bCs/>
          <w:sz w:val="24"/>
          <w:lang w:eastAsia="ja-JP"/>
        </w:rPr>
        <w:t>6.20</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321A939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F0C8F">
        <w:rPr>
          <w:rFonts w:ascii="Arial" w:hAnsi="Arial" w:cs="Arial"/>
          <w:b/>
          <w:bCs/>
          <w:sz w:val="24"/>
        </w:rPr>
        <w:t xml:space="preserve">5G URLLC: </w:t>
      </w:r>
      <w:r w:rsidR="000F7B2D">
        <w:rPr>
          <w:rFonts w:ascii="Arial" w:hAnsi="Arial" w:cs="Arial"/>
          <w:b/>
          <w:bCs/>
          <w:sz w:val="24"/>
        </w:rPr>
        <w:t>The Issue of Failing UE</w:t>
      </w:r>
    </w:p>
    <w:p w14:paraId="3AC3A0B1" w14:textId="4C34D077" w:rsidR="00CD4C7B" w:rsidRPr="00B266B0" w:rsidRDefault="00CD4C7B" w:rsidP="00CD4C7B">
      <w:pPr>
        <w:ind w:left="1985" w:hanging="1985"/>
        <w:rPr>
          <w:rFonts w:ascii="Arial" w:hAnsi="Arial" w:cs="Arial"/>
          <w:b/>
          <w:bCs/>
          <w:sz w:val="24"/>
        </w:rPr>
      </w:pPr>
      <w:r>
        <w:rPr>
          <w:rFonts w:ascii="Arial" w:hAnsi="Arial" w:cs="Arial"/>
          <w:b/>
          <w:bCs/>
          <w:sz w:val="24"/>
        </w:rPr>
        <w:t>WID:</w:t>
      </w:r>
      <w:r>
        <w:rPr>
          <w:rFonts w:ascii="Arial" w:hAnsi="Arial" w:cs="Arial"/>
          <w:b/>
          <w:bCs/>
          <w:sz w:val="24"/>
        </w:rPr>
        <w:tab/>
      </w:r>
      <w:r w:rsidR="00B44BF4" w:rsidRPr="00B44BF4">
        <w:rPr>
          <w:rFonts w:ascii="Arial" w:hAnsi="Arial" w:cs="Arial"/>
          <w:b/>
          <w:bCs/>
          <w:sz w:val="24"/>
        </w:rPr>
        <w:t>5G_URLLC</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B44BF4">
        <w:rPr>
          <w:rFonts w:ascii="Arial" w:hAnsi="Arial" w:cs="Arial"/>
          <w:b/>
          <w:bCs/>
          <w:sz w:val="24"/>
        </w:rPr>
        <w:t>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6D4D108D" w:rsidR="00CD4C7B" w:rsidRPr="006E13D1" w:rsidRDefault="00B44BF4" w:rsidP="00CD4C7B">
      <w:r>
        <w:t xml:space="preserve">This document </w:t>
      </w:r>
      <w:r w:rsidR="00667BCE">
        <w:t xml:space="preserve">discusses </w:t>
      </w:r>
      <w:r>
        <w:t xml:space="preserve">a </w:t>
      </w:r>
      <w:r w:rsidR="00667BCE">
        <w:t>problem</w:t>
      </w:r>
      <w:r>
        <w:t xml:space="preserve"> related </w:t>
      </w:r>
      <w:r w:rsidR="00667BCE">
        <w:t xml:space="preserve">Solution #2 </w:t>
      </w:r>
      <w:r>
        <w:t xml:space="preserve">to </w:t>
      </w:r>
      <w:r w:rsidR="7644BC49">
        <w:t>K</w:t>
      </w:r>
      <w:r>
        <w:t xml:space="preserve">ey </w:t>
      </w:r>
      <w:r w:rsidR="7644BC49">
        <w:t>I</w:t>
      </w:r>
      <w:r>
        <w:t>ssue #1</w:t>
      </w:r>
      <w:r w:rsidR="7644BC49">
        <w:t xml:space="preserve"> </w:t>
      </w:r>
      <w:r w:rsidR="009156D1">
        <w:fldChar w:fldCharType="begin"/>
      </w:r>
      <w:r w:rsidR="009156D1">
        <w:instrText xml:space="preserve"> REF _Ref529964529 \r \h </w:instrText>
      </w:r>
      <w:r w:rsidR="009156D1">
        <w:fldChar w:fldCharType="separate"/>
      </w:r>
      <w:r w:rsidR="009156D1">
        <w:t>[1]</w:t>
      </w:r>
      <w:r w:rsidR="009156D1">
        <w:fldChar w:fldCharType="end"/>
      </w:r>
      <w:r>
        <w:t xml:space="preserve">. In particular, the </w:t>
      </w:r>
      <w:r w:rsidR="00667BCE">
        <w:t>document describes</w:t>
      </w:r>
      <w:r>
        <w:t xml:space="preserve"> a scenario when a </w:t>
      </w:r>
      <w:r w:rsidR="495901A7">
        <w:t xml:space="preserve">UE-side </w:t>
      </w:r>
      <w:r>
        <w:t>host comprises of two UEs and one UE fails</w:t>
      </w:r>
      <w:r w:rsidR="00667BCE">
        <w:t xml:space="preserve"> and suggest that in such scenario redundant paths in the system could be restored by developing a fall-back solution to a configuration with dual connectivity</w:t>
      </w:r>
      <w:r>
        <w:t xml:space="preserve">.  </w:t>
      </w:r>
    </w:p>
    <w:p w14:paraId="127ACA6D" w14:textId="7ABD241B" w:rsidR="00CD4C7B" w:rsidRPr="006E13D1" w:rsidRDefault="00CD4C7B" w:rsidP="00CD4C7B">
      <w:pPr>
        <w:pStyle w:val="Heading1"/>
      </w:pPr>
      <w:r w:rsidRPr="006E13D1">
        <w:t>2</w:t>
      </w:r>
      <w:r w:rsidRPr="006E13D1">
        <w:tab/>
      </w:r>
      <w:r w:rsidR="00B86BB5">
        <w:t>Discussion</w:t>
      </w:r>
    </w:p>
    <w:p w14:paraId="1809BF3A" w14:textId="4759CA5E" w:rsidR="00C627CD" w:rsidRDefault="00C627CD" w:rsidP="009D152B">
      <w:pPr>
        <w:jc w:val="both"/>
      </w:pPr>
      <w:r>
        <w:t xml:space="preserve">A solution with two UEs per host such as Solution #2 </w:t>
      </w:r>
      <w:r w:rsidR="009156D1">
        <w:fldChar w:fldCharType="begin"/>
      </w:r>
      <w:r w:rsidR="009156D1">
        <w:instrText xml:space="preserve"> REF _Ref529964529 \r \h </w:instrText>
      </w:r>
      <w:r w:rsidR="009156D1">
        <w:fldChar w:fldCharType="separate"/>
      </w:r>
      <w:r w:rsidR="009156D1">
        <w:t>[1]</w:t>
      </w:r>
      <w:r w:rsidR="009156D1">
        <w:fldChar w:fldCharType="end"/>
      </w:r>
      <w:r w:rsidR="4B5B2312" w:rsidRPr="21B7F3AD">
        <w:t xml:space="preserve"> </w:t>
      </w:r>
      <w:r>
        <w:t>provides full redundancy of user plane and possibly also control plane paths through 3GPP domain, which offer</w:t>
      </w:r>
      <w:r w:rsidR="13ADD53A">
        <w:t>s</w:t>
      </w:r>
      <w:r>
        <w:t xml:space="preserve"> high reliability against failures in the entities along the paths.</w:t>
      </w:r>
      <w:r w:rsidR="009D152B">
        <w:t xml:space="preserve"> </w:t>
      </w:r>
      <w:r w:rsidR="0049556C">
        <w:t>In addition</w:t>
      </w:r>
      <w:r w:rsidR="007846D4">
        <w:t>, solution #2 also offers better reliability when UE failure happens. For instance, t</w:t>
      </w:r>
      <w:r w:rsidR="009D152B">
        <w:t xml:space="preserve">he UE failure may happen due to overheating caused by continuous data transfer, hardware component failure, a physical damage. In case of mobile UEs, some additional failure causes such as running out of battery may also </w:t>
      </w:r>
      <w:r w:rsidR="00F60C54">
        <w:t>be the case</w:t>
      </w:r>
      <w:r w:rsidR="004D05D4">
        <w:t>.</w:t>
      </w:r>
      <w:r>
        <w:t xml:space="preserve"> </w:t>
      </w:r>
      <w:r w:rsidR="00667BCE">
        <w:t>T</w:t>
      </w:r>
      <w:r>
        <w:t xml:space="preserve">his document focuses on </w:t>
      </w:r>
      <w:r w:rsidR="00667BCE">
        <w:t xml:space="preserve">the problem of </w:t>
      </w:r>
      <w:r>
        <w:t>UE failure in deployments according to Solution #2</w:t>
      </w:r>
      <w:r w:rsidR="009D152B">
        <w:t xml:space="preserve"> as shown in Figure 1</w:t>
      </w:r>
      <w:r>
        <w:t xml:space="preserve">. </w:t>
      </w:r>
    </w:p>
    <w:p w14:paraId="06C62247" w14:textId="4080EECE" w:rsidR="009D152B" w:rsidRDefault="007809C8" w:rsidP="00367C98">
      <w:pPr>
        <w:jc w:val="center"/>
      </w:pPr>
      <w:r>
        <w:rPr>
          <w:noProof/>
        </w:rPr>
        <mc:AlternateContent>
          <mc:Choice Requires="wps">
            <w:drawing>
              <wp:anchor distT="0" distB="0" distL="114300" distR="114300" simplePos="0" relativeHeight="251659264" behindDoc="0" locked="0" layoutInCell="1" allowOverlap="1" wp14:anchorId="1FE57382" wp14:editId="244E2CE1">
                <wp:simplePos x="0" y="0"/>
                <wp:positionH relativeFrom="column">
                  <wp:posOffset>1595120</wp:posOffset>
                </wp:positionH>
                <wp:positionV relativeFrom="paragraph">
                  <wp:posOffset>1052195</wp:posOffset>
                </wp:positionV>
                <wp:extent cx="304800" cy="371475"/>
                <wp:effectExtent l="19050" t="19050" r="19050" b="28575"/>
                <wp:wrapNone/>
                <wp:docPr id="2" name="Straight Connector 2"/>
                <wp:cNvGraphicFramePr/>
                <a:graphic xmlns:a="http://schemas.openxmlformats.org/drawingml/2006/main">
                  <a:graphicData uri="http://schemas.microsoft.com/office/word/2010/wordprocessingShape">
                    <wps:wsp>
                      <wps:cNvCnPr/>
                      <wps:spPr>
                        <a:xfrm>
                          <a:off x="0" y="0"/>
                          <a:ext cx="304800" cy="371475"/>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FFAA9A"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5.6pt,82.85pt" to="149.6pt,1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" strokecolor="red" strokeweight="2.25pt">
                <v:stroke joinstyle="miter"/>
              </v:line>
            </w:pict>
          </mc:Fallback>
        </mc:AlternateContent>
      </w:r>
      <w:r>
        <w:rPr>
          <w:noProof/>
        </w:rPr>
        <mc:AlternateContent>
          <mc:Choice Requires="wps">
            <w:drawing>
              <wp:anchor distT="0" distB="0" distL="114300" distR="114300" simplePos="0" relativeHeight="251660288" behindDoc="0" locked="0" layoutInCell="1" allowOverlap="1" wp14:anchorId="56D13148" wp14:editId="4DFDDD05">
                <wp:simplePos x="0" y="0"/>
                <wp:positionH relativeFrom="column">
                  <wp:posOffset>1595119</wp:posOffset>
                </wp:positionH>
                <wp:positionV relativeFrom="paragraph">
                  <wp:posOffset>1052195</wp:posOffset>
                </wp:positionV>
                <wp:extent cx="314325" cy="361950"/>
                <wp:effectExtent l="19050" t="19050" r="28575" b="19050"/>
                <wp:wrapNone/>
                <wp:docPr id="3" name="Straight Connector 3"/>
                <wp:cNvGraphicFramePr/>
                <a:graphic xmlns:a="http://schemas.openxmlformats.org/drawingml/2006/main">
                  <a:graphicData uri="http://schemas.microsoft.com/office/word/2010/wordprocessingShape">
                    <wps:wsp>
                      <wps:cNvCnPr/>
                      <wps:spPr>
                        <a:xfrm flipV="1">
                          <a:off x="0" y="0"/>
                          <a:ext cx="314325" cy="36195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2D4E9E" id="Straight Connector 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5.6pt,82.85pt" to="150.35pt,1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" strokecolor="red" strokeweight="2.25pt">
                <v:stroke joinstyle="miter"/>
              </v:line>
            </w:pict>
          </mc:Fallback>
        </mc:AlternateContent>
      </w:r>
      <w:r w:rsidR="00CE399A">
        <w:rPr>
          <w:noProof/>
        </w:rPr>
        <w:drawing>
          <wp:inline distT="0" distB="0" distL="0" distR="0" wp14:anchorId="2BF9B07D" wp14:editId="3F9922DC">
            <wp:extent cx="5878195" cy="1450522"/>
            <wp:effectExtent l="0" t="0" r="825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97102" cy="1455188"/>
                    </a:xfrm>
                    <a:prstGeom prst="rect">
                      <a:avLst/>
                    </a:prstGeom>
                    <a:noFill/>
                  </pic:spPr>
                </pic:pic>
              </a:graphicData>
            </a:graphic>
          </wp:inline>
        </w:drawing>
      </w:r>
    </w:p>
    <w:p w14:paraId="67D7C155" w14:textId="74BB293B" w:rsidR="0060079C" w:rsidRDefault="0060079C" w:rsidP="004B6402">
      <w:pPr>
        <w:jc w:val="center"/>
      </w:pPr>
      <w:r>
        <w:t xml:space="preserve">Figure 1 </w:t>
      </w:r>
      <w:r w:rsidR="007809C8">
        <w:t>Failure of one UE</w:t>
      </w:r>
    </w:p>
    <w:p w14:paraId="3884F67D" w14:textId="575FFA0A" w:rsidR="00CD4C7B" w:rsidRDefault="00653649">
      <w:pPr>
        <w:rPr>
          <w:rFonts w:cs="Arial"/>
          <w:color w:val="000000" w:themeColor="text1"/>
        </w:rPr>
      </w:pPr>
      <w:r>
        <w:t xml:space="preserve">When a UE failure occurs in Solution #2, it </w:t>
      </w:r>
      <w:r w:rsidR="006441E3">
        <w:t xml:space="preserve">could be </w:t>
      </w:r>
      <w:r>
        <w:t>possible to fall back to a single UE per host operation with redundant RAN and CN</w:t>
      </w:r>
      <w:r w:rsidR="21B7F3AD" w:rsidRPr="719F878E">
        <w:t>,</w:t>
      </w:r>
      <w:r>
        <w:t xml:space="preserve"> </w:t>
      </w:r>
      <w:r w:rsidR="006441E3">
        <w:t xml:space="preserve">for example </w:t>
      </w:r>
      <w:r>
        <w:t>as proposed by Solution #1</w:t>
      </w:r>
      <w:r w:rsidR="00C226F1">
        <w:t>, or to PDCP duplication</w:t>
      </w:r>
      <w:r>
        <w:t xml:space="preserve">. </w:t>
      </w:r>
      <w:r w:rsidR="006441E3">
        <w:rPr>
          <w:rFonts w:cs="Arial"/>
          <w:color w:val="000000" w:themeColor="text1"/>
        </w:rPr>
        <w:t>Fast recovery would be especially important in the case when the quality of the remaining link is not sufficient to maintain correct operation at sufficient reliability level</w:t>
      </w:r>
      <w:r w:rsidR="00467214">
        <w:rPr>
          <w:rFonts w:cs="Arial"/>
          <w:color w:val="000000" w:themeColor="text1"/>
        </w:rPr>
        <w:t xml:space="preserve">, especially if </w:t>
      </w:r>
      <w:r w:rsidR="004B6402">
        <w:rPr>
          <w:rFonts w:cs="Arial"/>
          <w:color w:val="000000" w:themeColor="text1"/>
        </w:rPr>
        <w:t xml:space="preserve">the </w:t>
      </w:r>
      <w:r w:rsidR="00C226F1">
        <w:rPr>
          <w:rFonts w:cs="Arial"/>
          <w:color w:val="000000" w:themeColor="text1"/>
        </w:rPr>
        <w:t>remaining</w:t>
      </w:r>
      <w:r w:rsidR="004B6402">
        <w:rPr>
          <w:rFonts w:cs="Arial"/>
          <w:color w:val="000000" w:themeColor="text1"/>
        </w:rPr>
        <w:t xml:space="preserve"> UE has </w:t>
      </w:r>
      <w:r w:rsidR="00C226F1">
        <w:rPr>
          <w:rFonts w:cs="Arial"/>
          <w:color w:val="000000" w:themeColor="text1"/>
        </w:rPr>
        <w:t xml:space="preserve">worse </w:t>
      </w:r>
      <w:r w:rsidR="004B6402">
        <w:rPr>
          <w:rFonts w:cs="Arial"/>
          <w:color w:val="000000" w:themeColor="text1"/>
        </w:rPr>
        <w:t xml:space="preserve">radio link </w:t>
      </w:r>
      <w:r w:rsidR="004D05D4">
        <w:rPr>
          <w:rFonts w:cs="Arial"/>
          <w:color w:val="000000" w:themeColor="text1"/>
        </w:rPr>
        <w:t xml:space="preserve">compared to </w:t>
      </w:r>
      <w:r w:rsidR="004B6402">
        <w:rPr>
          <w:rFonts w:cs="Arial"/>
          <w:color w:val="000000" w:themeColor="text1"/>
        </w:rPr>
        <w:t xml:space="preserve">the </w:t>
      </w:r>
      <w:r w:rsidR="00C226F1">
        <w:rPr>
          <w:rFonts w:cs="Arial"/>
          <w:color w:val="000000" w:themeColor="text1"/>
        </w:rPr>
        <w:t xml:space="preserve">failed </w:t>
      </w:r>
      <w:r w:rsidR="004B6402">
        <w:rPr>
          <w:rFonts w:cs="Arial"/>
          <w:color w:val="000000" w:themeColor="text1"/>
        </w:rPr>
        <w:t>UE.</w:t>
      </w:r>
      <w:r w:rsidR="006441E3">
        <w:rPr>
          <w:rFonts w:cs="Arial"/>
          <w:color w:val="000000" w:themeColor="text1"/>
        </w:rPr>
        <w:t xml:space="preserve"> For example, in case of 1000Hz control loop for a motion control, a single link with 10^-2 availability could cause an application level failure in 0.1 seconds on average</w:t>
      </w:r>
      <w:r w:rsidR="004B6402">
        <w:rPr>
          <w:rFonts w:cs="Arial"/>
          <w:color w:val="000000" w:themeColor="text1"/>
        </w:rPr>
        <w:t>, which is not acceptable for many industry use cases</w:t>
      </w:r>
      <w:r w:rsidR="006441E3">
        <w:rPr>
          <w:rFonts w:cs="Arial"/>
          <w:color w:val="000000" w:themeColor="text1"/>
        </w:rPr>
        <w:t>.</w:t>
      </w:r>
      <w:r w:rsidR="006441E3" w:rsidRPr="00986D78">
        <w:rPr>
          <w:rFonts w:cs="Arial"/>
          <w:color w:val="000000" w:themeColor="text1"/>
        </w:rPr>
        <w:t xml:space="preserve"> </w:t>
      </w:r>
    </w:p>
    <w:p w14:paraId="2584115D" w14:textId="1808270E" w:rsidR="004B6402" w:rsidRDefault="006441E3">
      <w:pPr>
        <w:rPr>
          <w:rFonts w:cs="Arial"/>
          <w:b/>
          <w:i/>
          <w:color w:val="000000" w:themeColor="text1"/>
        </w:rPr>
      </w:pPr>
      <w:r w:rsidRPr="009D152B">
        <w:rPr>
          <w:rFonts w:cs="Arial"/>
          <w:b/>
          <w:i/>
          <w:color w:val="000000" w:themeColor="text1"/>
        </w:rPr>
        <w:t>Pro</w:t>
      </w:r>
      <w:r w:rsidR="00B13556" w:rsidRPr="009D152B">
        <w:rPr>
          <w:rFonts w:cs="Arial"/>
          <w:b/>
          <w:i/>
          <w:color w:val="000000" w:themeColor="text1"/>
        </w:rPr>
        <w:t>posal</w:t>
      </w:r>
      <w:r w:rsidR="009844E0">
        <w:rPr>
          <w:rFonts w:cs="Arial"/>
          <w:b/>
          <w:i/>
          <w:color w:val="000000" w:themeColor="text1"/>
        </w:rPr>
        <w:t xml:space="preserve"> 1</w:t>
      </w:r>
      <w:r w:rsidR="00B13556" w:rsidRPr="009D152B">
        <w:rPr>
          <w:rFonts w:cs="Arial"/>
          <w:b/>
          <w:i/>
          <w:color w:val="000000" w:themeColor="text1"/>
        </w:rPr>
        <w:t xml:space="preserve">: It is proposed to </w:t>
      </w:r>
      <w:r w:rsidR="00C94ABE">
        <w:rPr>
          <w:rFonts w:cs="Arial"/>
          <w:b/>
          <w:i/>
          <w:color w:val="000000" w:themeColor="text1"/>
        </w:rPr>
        <w:t>consider</w:t>
      </w:r>
      <w:r w:rsidR="00C94ABE" w:rsidRPr="009D152B">
        <w:rPr>
          <w:rFonts w:cs="Arial"/>
          <w:b/>
          <w:i/>
          <w:color w:val="000000" w:themeColor="text1"/>
        </w:rPr>
        <w:t xml:space="preserve"> </w:t>
      </w:r>
      <w:r w:rsidR="00B13556" w:rsidRPr="009D152B">
        <w:rPr>
          <w:rFonts w:cs="Arial"/>
          <w:b/>
          <w:i/>
          <w:color w:val="000000" w:themeColor="text1"/>
        </w:rPr>
        <w:t>the problem of UE failure scenarios in deployments according to Solution #2</w:t>
      </w:r>
      <w:r w:rsidR="004B6402">
        <w:rPr>
          <w:rFonts w:cs="Arial"/>
          <w:b/>
          <w:i/>
          <w:color w:val="000000" w:themeColor="text1"/>
        </w:rPr>
        <w:t>.</w:t>
      </w:r>
    </w:p>
    <w:p w14:paraId="61389597" w14:textId="3F60D970" w:rsidR="004B6402" w:rsidRDefault="004B6402">
      <w:pPr>
        <w:rPr>
          <w:rFonts w:cs="Arial"/>
          <w:color w:val="000000" w:themeColor="text1"/>
        </w:rPr>
      </w:pPr>
      <w:r>
        <w:rPr>
          <w:rFonts w:cs="Arial"/>
          <w:color w:val="000000" w:themeColor="text1"/>
        </w:rPr>
        <w:t>The redundant PDU session establishment procedure</w:t>
      </w:r>
      <w:r w:rsidR="000B093F">
        <w:rPr>
          <w:rFonts w:cs="Arial"/>
          <w:color w:val="000000" w:themeColor="text1"/>
        </w:rPr>
        <w:t xml:space="preserve"> for solution #1 is defined as following in [23.501]</w:t>
      </w:r>
      <w:r>
        <w:rPr>
          <w:rFonts w:cs="Arial"/>
          <w:color w:val="000000" w:themeColor="text1"/>
        </w:rPr>
        <w:t>:</w:t>
      </w:r>
    </w:p>
    <w:p w14:paraId="5589AA4D" w14:textId="7B067A2D" w:rsidR="004B6402" w:rsidRPr="00C94ABE" w:rsidRDefault="004B6402" w:rsidP="004B6402">
      <w:pPr>
        <w:pStyle w:val="B2"/>
        <w:rPr>
          <w:i/>
        </w:rPr>
      </w:pPr>
      <w:r w:rsidRPr="006806DD">
        <w:t>-</w:t>
      </w:r>
      <w:r>
        <w:tab/>
      </w:r>
      <w:r w:rsidRPr="00C94ABE">
        <w:rPr>
          <w:rFonts w:eastAsiaTheme="minorEastAsia"/>
          <w:i/>
        </w:rPr>
        <w:t>UE initiates two redundant PDU session and provides different combination of DNN and S-NSSAI for each PDU Session.</w:t>
      </w:r>
    </w:p>
    <w:p w14:paraId="1D573792" w14:textId="77777777" w:rsidR="004B6402" w:rsidRPr="00C94ABE" w:rsidRDefault="004B6402" w:rsidP="004B6402">
      <w:pPr>
        <w:pStyle w:val="B2"/>
        <w:rPr>
          <w:i/>
        </w:rPr>
      </w:pPr>
      <w:r w:rsidRPr="00C94ABE">
        <w:rPr>
          <w:i/>
        </w:rPr>
        <w:t>-</w:t>
      </w:r>
      <w:r w:rsidRPr="00C94ABE">
        <w:rPr>
          <w:i/>
        </w:rPr>
        <w:tab/>
        <w:t>the SMF determines whether the PDU Session is to be handled redundantly. The determination is based on the combination of the S-NSSAI, DNN, user subscription and local policy configuration. The SMF uses these inputs to determine the RSN which differentiates the PDU Sessions that are handled redundantly and determines whether the PDU Session’s user plane should go via the Master or the Secondary NG-RAN.</w:t>
      </w:r>
    </w:p>
    <w:p w14:paraId="35FBAF96" w14:textId="77777777" w:rsidR="004B6402" w:rsidRPr="00C94ABE" w:rsidRDefault="004B6402" w:rsidP="004B6402">
      <w:pPr>
        <w:pStyle w:val="B2"/>
        <w:rPr>
          <w:i/>
        </w:rPr>
      </w:pPr>
      <w:r w:rsidRPr="00C94ABE">
        <w:rPr>
          <w:i/>
        </w:rPr>
        <w:lastRenderedPageBreak/>
        <w:t>-</w:t>
      </w:r>
      <w:r w:rsidRPr="00C94ABE">
        <w:rPr>
          <w:i/>
        </w:rPr>
        <w:tab/>
        <w:t xml:space="preserve">Operator configuration of UPF selection ensures the appropriate UPF selection for disjoint paths. </w:t>
      </w:r>
    </w:p>
    <w:p w14:paraId="138BD547" w14:textId="77777777" w:rsidR="004B6402" w:rsidRPr="00C94ABE" w:rsidRDefault="004B6402" w:rsidP="004B6402">
      <w:pPr>
        <w:pStyle w:val="B2"/>
        <w:rPr>
          <w:i/>
        </w:rPr>
      </w:pPr>
      <w:r w:rsidRPr="00C94ABE">
        <w:rPr>
          <w:i/>
        </w:rPr>
        <w:t>-</w:t>
      </w:r>
      <w:r w:rsidRPr="00C94ABE">
        <w:rPr>
          <w:i/>
        </w:rPr>
        <w:tab/>
        <w:t xml:space="preserve">When the NG-RAN contexts are established for the redundant PDU Sessions (i.e., during the establishment of the PDU Sessions or at transitions to CM-CONNECTED state), for one PDU Session the RSN parameter explicitly requests that the user plane goes via the Master RAN, and for the other PDU Session the RSN parameter explicitly requests that the user plane goes via the Secondary RAN using dual connectivity. This request is made by indicating the RSN to the RAN node on a per PDU Session granularity. Based on the RSN, the Master RAN sets up dual connectivity as defined in TS 37.340 [31] so that the sessions have end to end redundant paths. When there is at least one PDU Session with RSN indicating the user plane to go via the Master RAN and at least one PDU Session with RSN indicating the user plane to go via the Secondary RAN node, this indicates to RAN that CN is requesting dual connectivity to be set up and the user plane shall be handled as indicated by the RSN parameter. </w:t>
      </w:r>
    </w:p>
    <w:p w14:paraId="109551D4" w14:textId="1E639C55" w:rsidR="004B6402" w:rsidRDefault="00B62408" w:rsidP="00C94ABE">
      <w:pPr>
        <w:jc w:val="both"/>
        <w:rPr>
          <w:rFonts w:cs="Arial"/>
          <w:color w:val="000000" w:themeColor="text1"/>
        </w:rPr>
      </w:pPr>
      <w:r>
        <w:rPr>
          <w:rFonts w:cs="Arial"/>
          <w:color w:val="000000" w:themeColor="text1"/>
        </w:rPr>
        <w:t xml:space="preserve">To implement solution #2 using solution #1 procedure, the two UEs need to provide different combination of DNN and S-NSSAI to allow the SMF to determine the different RSNs for the two UEs. In order to provide disjoint redundant path for the two UEs </w:t>
      </w:r>
      <w:r w:rsidR="00311485">
        <w:rPr>
          <w:rFonts w:cs="Arial"/>
          <w:color w:val="000000" w:themeColor="text1"/>
        </w:rPr>
        <w:t>with different</w:t>
      </w:r>
      <w:r>
        <w:rPr>
          <w:rFonts w:cs="Arial"/>
          <w:color w:val="000000" w:themeColor="text1"/>
        </w:rPr>
        <w:t xml:space="preserve"> RSN, </w:t>
      </w:r>
      <w:r w:rsidR="000B093F">
        <w:rPr>
          <w:rFonts w:cs="Arial"/>
          <w:color w:val="000000" w:themeColor="text1"/>
        </w:rPr>
        <w:t>the association between the RSN and corresponding CN and RN nodes</w:t>
      </w:r>
      <w:r>
        <w:rPr>
          <w:rFonts w:cs="Arial"/>
          <w:color w:val="000000" w:themeColor="text1"/>
        </w:rPr>
        <w:t xml:space="preserve"> should </w:t>
      </w:r>
      <w:r w:rsidR="005A680C">
        <w:rPr>
          <w:rFonts w:cs="Arial"/>
          <w:color w:val="000000" w:themeColor="text1"/>
        </w:rPr>
        <w:t xml:space="preserve">be pre-configured </w:t>
      </w:r>
      <w:r w:rsidR="000B093F">
        <w:rPr>
          <w:rFonts w:cs="Arial"/>
          <w:color w:val="000000" w:themeColor="text1"/>
        </w:rPr>
        <w:t>and provided to the CN and RAN nodes</w:t>
      </w:r>
      <w:r w:rsidR="005A680C">
        <w:rPr>
          <w:rFonts w:cs="Arial"/>
          <w:color w:val="000000" w:themeColor="text1"/>
        </w:rPr>
        <w:t>.</w:t>
      </w:r>
      <w:r w:rsidR="00311485">
        <w:rPr>
          <w:rFonts w:cs="Arial"/>
          <w:color w:val="000000" w:themeColor="text1"/>
        </w:rPr>
        <w:t xml:space="preserve"> However</w:t>
      </w:r>
      <w:r w:rsidR="000B093F">
        <w:rPr>
          <w:rFonts w:cs="Arial"/>
          <w:color w:val="000000" w:themeColor="text1"/>
        </w:rPr>
        <w:t>, if the association between RSN and corresponding CN and RAN nodes are statically configured,</w:t>
      </w:r>
      <w:r w:rsidR="00311485">
        <w:rPr>
          <w:rFonts w:cs="Arial"/>
          <w:color w:val="000000" w:themeColor="text1"/>
        </w:rPr>
        <w:t xml:space="preserve"> </w:t>
      </w:r>
      <w:r w:rsidR="00CF333F">
        <w:rPr>
          <w:rFonts w:cs="Arial"/>
          <w:color w:val="000000" w:themeColor="text1"/>
        </w:rPr>
        <w:t xml:space="preserve">for </w:t>
      </w:r>
      <w:r w:rsidR="00311485">
        <w:rPr>
          <w:rFonts w:cs="Arial"/>
          <w:color w:val="000000" w:themeColor="text1"/>
        </w:rPr>
        <w:t xml:space="preserve">the fall-back to solution #1 </w:t>
      </w:r>
      <w:r w:rsidR="00C226F1">
        <w:rPr>
          <w:rFonts w:cs="Arial"/>
          <w:color w:val="000000" w:themeColor="text1"/>
        </w:rPr>
        <w:t xml:space="preserve">or PDCP duplication </w:t>
      </w:r>
      <w:r w:rsidR="00311485">
        <w:rPr>
          <w:rFonts w:cs="Arial"/>
          <w:color w:val="000000" w:themeColor="text1"/>
        </w:rPr>
        <w:t>via the remaining UE</w:t>
      </w:r>
      <w:r w:rsidR="00CF333F">
        <w:rPr>
          <w:rFonts w:cs="Arial"/>
          <w:color w:val="000000" w:themeColor="text1"/>
        </w:rPr>
        <w:t>, it</w:t>
      </w:r>
      <w:r w:rsidR="00311485">
        <w:rPr>
          <w:rFonts w:cs="Arial"/>
          <w:color w:val="000000" w:themeColor="text1"/>
        </w:rPr>
        <w:t xml:space="preserve"> is only possible to use the network nodes associated with the remaining UE’s RSN</w:t>
      </w:r>
      <w:r w:rsidR="000B093F">
        <w:rPr>
          <w:rFonts w:cs="Arial"/>
          <w:color w:val="000000" w:themeColor="text1"/>
        </w:rPr>
        <w:t xml:space="preserve"> when one UE failed</w:t>
      </w:r>
      <w:r w:rsidR="00311485">
        <w:rPr>
          <w:rFonts w:cs="Arial"/>
          <w:color w:val="000000" w:themeColor="text1"/>
        </w:rPr>
        <w:t xml:space="preserve">. </w:t>
      </w:r>
      <w:r w:rsidR="005A680C">
        <w:rPr>
          <w:rFonts w:cs="Arial"/>
          <w:color w:val="000000" w:themeColor="text1"/>
        </w:rPr>
        <w:t xml:space="preserve"> </w:t>
      </w:r>
      <w:r w:rsidR="00311485">
        <w:rPr>
          <w:rFonts w:cs="Arial"/>
          <w:color w:val="000000" w:themeColor="text1"/>
        </w:rPr>
        <w:t xml:space="preserve">It would be preferred that </w:t>
      </w:r>
      <w:r w:rsidR="00CF333F">
        <w:rPr>
          <w:rFonts w:cs="Arial"/>
          <w:color w:val="000000" w:themeColor="text1"/>
        </w:rPr>
        <w:t xml:space="preserve">in case of UE failure, </w:t>
      </w:r>
      <w:r w:rsidR="00311485">
        <w:rPr>
          <w:rFonts w:cs="Arial"/>
          <w:color w:val="000000" w:themeColor="text1"/>
        </w:rPr>
        <w:t>the</w:t>
      </w:r>
      <w:r w:rsidR="00CF333F">
        <w:rPr>
          <w:rFonts w:cs="Arial"/>
          <w:color w:val="000000" w:themeColor="text1"/>
        </w:rPr>
        <w:t xml:space="preserve"> association of RSN could be dynamically changed to allow</w:t>
      </w:r>
      <w:r w:rsidR="00311485">
        <w:rPr>
          <w:rFonts w:cs="Arial"/>
          <w:color w:val="000000" w:themeColor="text1"/>
        </w:rPr>
        <w:t xml:space="preserve"> fall-back to solution #1</w:t>
      </w:r>
      <w:r w:rsidR="00CF333F">
        <w:rPr>
          <w:rFonts w:cs="Arial"/>
          <w:color w:val="000000" w:themeColor="text1"/>
        </w:rPr>
        <w:t xml:space="preserve"> or PDCP duplication </w:t>
      </w:r>
      <w:r w:rsidR="00311485">
        <w:rPr>
          <w:rFonts w:cs="Arial"/>
          <w:color w:val="000000" w:themeColor="text1"/>
        </w:rPr>
        <w:t xml:space="preserve"> </w:t>
      </w:r>
      <w:r w:rsidR="00C94ABE">
        <w:rPr>
          <w:rFonts w:cs="Arial"/>
          <w:color w:val="000000" w:themeColor="text1"/>
        </w:rPr>
        <w:t xml:space="preserve">for the </w:t>
      </w:r>
      <w:r w:rsidR="00311485">
        <w:rPr>
          <w:rFonts w:cs="Arial"/>
          <w:color w:val="000000" w:themeColor="text1"/>
        </w:rPr>
        <w:t>remaining UE</w:t>
      </w:r>
      <w:r w:rsidR="00C11208">
        <w:rPr>
          <w:rFonts w:cs="Arial"/>
          <w:color w:val="000000" w:themeColor="text1"/>
        </w:rPr>
        <w:t>, as illustrated in Figure 2 and Figure 3</w:t>
      </w:r>
      <w:r w:rsidR="00C94ABE">
        <w:rPr>
          <w:rFonts w:cs="Arial"/>
          <w:color w:val="000000" w:themeColor="text1"/>
        </w:rPr>
        <w:t>. It</w:t>
      </w:r>
      <w:r w:rsidR="00311485">
        <w:rPr>
          <w:rFonts w:cs="Arial"/>
          <w:color w:val="000000" w:themeColor="text1"/>
        </w:rPr>
        <w:t xml:space="preserve"> should be possible to</w:t>
      </w:r>
      <w:r w:rsidR="003633C7">
        <w:rPr>
          <w:rFonts w:cs="Arial"/>
          <w:color w:val="000000" w:themeColor="text1"/>
        </w:rPr>
        <w:t xml:space="preserve"> establish the dual connectivity not only with the RAN nodes associated with the remaining UE’s RSN, but also with failure UE’s RSN.</w:t>
      </w:r>
    </w:p>
    <w:p w14:paraId="6011CAAD" w14:textId="6E7120FF" w:rsidR="00D857FF" w:rsidRDefault="00D857FF" w:rsidP="00367C98">
      <w:pPr>
        <w:jc w:val="center"/>
      </w:pPr>
    </w:p>
    <w:p w14:paraId="170912E9" w14:textId="4126050B" w:rsidR="00450F7E" w:rsidRDefault="00C11208" w:rsidP="00367C98">
      <w:pPr>
        <w:jc w:val="center"/>
      </w:pPr>
      <w:r>
        <w:rPr>
          <w:noProof/>
        </w:rPr>
        <w:drawing>
          <wp:inline distT="0" distB="0" distL="0" distR="0" wp14:anchorId="6DE8A3A0" wp14:editId="2898B023">
            <wp:extent cx="5773420" cy="1265202"/>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81700" cy="1267016"/>
                    </a:xfrm>
                    <a:prstGeom prst="rect">
                      <a:avLst/>
                    </a:prstGeom>
                    <a:noFill/>
                  </pic:spPr>
                </pic:pic>
              </a:graphicData>
            </a:graphic>
          </wp:inline>
        </w:drawing>
      </w:r>
    </w:p>
    <w:p w14:paraId="4B19BB06" w14:textId="2E107479" w:rsidR="00D857FF" w:rsidRDefault="00D857FF">
      <w:pPr>
        <w:jc w:val="center"/>
      </w:pPr>
      <w:r>
        <w:t>Figure 2 Dual connectivity for remaining UE</w:t>
      </w:r>
      <w:r w:rsidR="00450F7E">
        <w:t xml:space="preserve"> with Solution #1</w:t>
      </w:r>
      <w:r w:rsidR="00C11208">
        <w:t>.</w:t>
      </w:r>
    </w:p>
    <w:p w14:paraId="527EB237" w14:textId="6187D287" w:rsidR="00450F7E" w:rsidRDefault="00450F7E">
      <w:pPr>
        <w:jc w:val="center"/>
        <w:rPr>
          <w:rFonts w:cs="Arial"/>
          <w:color w:val="000000" w:themeColor="text1"/>
        </w:rPr>
      </w:pPr>
    </w:p>
    <w:p w14:paraId="32A46A1F" w14:textId="71874551" w:rsidR="00450F7E" w:rsidRDefault="00C11208" w:rsidP="00C11208">
      <w:pPr>
        <w:jc w:val="center"/>
        <w:rPr>
          <w:rFonts w:cs="Arial"/>
          <w:color w:val="000000" w:themeColor="text1"/>
        </w:rPr>
      </w:pPr>
      <w:r>
        <w:rPr>
          <w:rFonts w:cs="Arial"/>
          <w:noProof/>
          <w:color w:val="000000" w:themeColor="text1"/>
        </w:rPr>
        <w:drawing>
          <wp:inline distT="0" distB="0" distL="0" distR="0" wp14:anchorId="06FDA4F5" wp14:editId="79688E3B">
            <wp:extent cx="5792470" cy="1210491"/>
            <wp:effectExtent l="0" t="0" r="0" b="889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14749" cy="1215147"/>
                    </a:xfrm>
                    <a:prstGeom prst="rect">
                      <a:avLst/>
                    </a:prstGeom>
                    <a:noFill/>
                  </pic:spPr>
                </pic:pic>
              </a:graphicData>
            </a:graphic>
          </wp:inline>
        </w:drawing>
      </w:r>
    </w:p>
    <w:p w14:paraId="387BE20A" w14:textId="011F6FCB" w:rsidR="00C11208" w:rsidRDefault="00C11208" w:rsidP="00C11208">
      <w:pPr>
        <w:jc w:val="center"/>
      </w:pPr>
      <w:r>
        <w:t>Figure 3 Dual connectivity for remaining UE with PDCP duplication.</w:t>
      </w:r>
    </w:p>
    <w:p w14:paraId="44CFF1EB" w14:textId="7880A46D" w:rsidR="00450F7E" w:rsidRDefault="00450F7E">
      <w:pPr>
        <w:jc w:val="center"/>
        <w:rPr>
          <w:rFonts w:cs="Arial"/>
          <w:color w:val="000000" w:themeColor="text1"/>
        </w:rPr>
      </w:pPr>
    </w:p>
    <w:p w14:paraId="7A30E48D" w14:textId="77777777" w:rsidR="00450F7E" w:rsidRPr="004B6402" w:rsidRDefault="00450F7E" w:rsidP="00367C98">
      <w:pPr>
        <w:jc w:val="center"/>
        <w:rPr>
          <w:rFonts w:cs="Arial"/>
          <w:color w:val="000000" w:themeColor="text1"/>
        </w:rPr>
      </w:pPr>
    </w:p>
    <w:p w14:paraId="5F7F198C" w14:textId="6869DB8A" w:rsidR="006441E3" w:rsidRDefault="003633C7">
      <w:pPr>
        <w:rPr>
          <w:rFonts w:cs="Arial"/>
          <w:b/>
          <w:i/>
          <w:color w:val="000000" w:themeColor="text1"/>
        </w:rPr>
      </w:pPr>
      <w:r>
        <w:rPr>
          <w:rFonts w:cs="Arial"/>
          <w:b/>
          <w:i/>
          <w:color w:val="000000" w:themeColor="text1"/>
        </w:rPr>
        <w:t xml:space="preserve">Proposal 2: </w:t>
      </w:r>
      <w:r w:rsidR="00E81537">
        <w:rPr>
          <w:rFonts w:cs="Arial"/>
          <w:b/>
          <w:i/>
          <w:color w:val="000000" w:themeColor="text1"/>
        </w:rPr>
        <w:t xml:space="preserve">It </w:t>
      </w:r>
      <w:r>
        <w:rPr>
          <w:rFonts w:cs="Arial"/>
          <w:b/>
          <w:i/>
          <w:color w:val="000000" w:themeColor="text1"/>
        </w:rPr>
        <w:t>is proposed to</w:t>
      </w:r>
      <w:r w:rsidR="00B13556" w:rsidRPr="009D152B">
        <w:rPr>
          <w:rFonts w:cs="Arial"/>
          <w:b/>
          <w:i/>
          <w:color w:val="000000" w:themeColor="text1"/>
        </w:rPr>
        <w:t xml:space="preserve"> </w:t>
      </w:r>
      <w:r w:rsidR="00C94ABE">
        <w:rPr>
          <w:rFonts w:cs="Arial"/>
          <w:b/>
          <w:i/>
          <w:color w:val="000000" w:themeColor="text1"/>
        </w:rPr>
        <w:t>discuss</w:t>
      </w:r>
      <w:r w:rsidR="00C94ABE" w:rsidRPr="009D152B">
        <w:rPr>
          <w:rFonts w:cs="Arial"/>
          <w:b/>
          <w:i/>
          <w:color w:val="000000" w:themeColor="text1"/>
        </w:rPr>
        <w:t xml:space="preserve"> </w:t>
      </w:r>
      <w:r w:rsidR="00B13556" w:rsidRPr="009D152B">
        <w:rPr>
          <w:rFonts w:cs="Arial"/>
          <w:b/>
          <w:i/>
          <w:color w:val="000000" w:themeColor="text1"/>
        </w:rPr>
        <w:t>whether enhancements to the system are needed to provide a fast recovery</w:t>
      </w:r>
      <w:r w:rsidR="00B13556">
        <w:rPr>
          <w:rFonts w:cs="Arial"/>
          <w:b/>
          <w:i/>
          <w:color w:val="000000" w:themeColor="text1"/>
        </w:rPr>
        <w:t xml:space="preserve"> of redundant paths</w:t>
      </w:r>
      <w:r w:rsidR="00B13556" w:rsidRPr="009D152B">
        <w:rPr>
          <w:rFonts w:cs="Arial"/>
          <w:b/>
          <w:i/>
          <w:color w:val="000000" w:themeColor="text1"/>
        </w:rPr>
        <w:t xml:space="preserve"> from such failure scenario </w:t>
      </w:r>
      <w:r>
        <w:rPr>
          <w:rFonts w:cs="Arial"/>
          <w:b/>
          <w:i/>
          <w:color w:val="000000" w:themeColor="text1"/>
        </w:rPr>
        <w:t>to enable the remaining UE to provide the redundant path via dual connectivity</w:t>
      </w:r>
      <w:r w:rsidR="00B13556" w:rsidRPr="009D152B">
        <w:rPr>
          <w:rFonts w:cs="Arial"/>
          <w:b/>
          <w:i/>
          <w:color w:val="000000" w:themeColor="text1"/>
        </w:rPr>
        <w:t>.</w:t>
      </w:r>
    </w:p>
    <w:p w14:paraId="413F6449" w14:textId="15530611" w:rsidR="00D8418E" w:rsidRPr="009D152B" w:rsidRDefault="00D8418E">
      <w:pPr>
        <w:rPr>
          <w:rFonts w:cs="Arial"/>
          <w:b/>
          <w:i/>
          <w:color w:val="000000" w:themeColor="text1"/>
        </w:rPr>
      </w:pPr>
      <w:r>
        <w:rPr>
          <w:rFonts w:cs="Arial"/>
          <w:b/>
          <w:i/>
          <w:color w:val="000000" w:themeColor="text1"/>
        </w:rPr>
        <w:t xml:space="preserve">Proposal 3: </w:t>
      </w:r>
      <w:r w:rsidR="00471E47">
        <w:rPr>
          <w:rFonts w:cs="Arial"/>
          <w:b/>
          <w:i/>
          <w:color w:val="000000" w:themeColor="text1"/>
        </w:rPr>
        <w:t xml:space="preserve">If one of the UE fails, </w:t>
      </w:r>
      <w:r w:rsidR="00471E47" w:rsidRPr="00367C98">
        <w:rPr>
          <w:rFonts w:cs="Arial"/>
          <w:b/>
          <w:i/>
          <w:color w:val="000000" w:themeColor="text1"/>
        </w:rPr>
        <w:t xml:space="preserve">it should be possible to establish the dual connectivity not only with the RAN nodes associated with the remaining UE’s RSN, but also with </w:t>
      </w:r>
      <w:r w:rsidR="003D240E">
        <w:rPr>
          <w:rFonts w:cs="Arial"/>
          <w:b/>
          <w:i/>
          <w:color w:val="000000" w:themeColor="text1"/>
        </w:rPr>
        <w:t>failed</w:t>
      </w:r>
      <w:r w:rsidR="00471E47" w:rsidRPr="00367C98">
        <w:rPr>
          <w:rFonts w:cs="Arial"/>
          <w:b/>
          <w:i/>
          <w:color w:val="000000" w:themeColor="text1"/>
        </w:rPr>
        <w:t xml:space="preserve"> UE’s RSN.</w:t>
      </w:r>
    </w:p>
    <w:p w14:paraId="504ADBDD" w14:textId="14E28FEA" w:rsidR="00B13556" w:rsidRPr="009D152B" w:rsidRDefault="00B13556" w:rsidP="001B49C9">
      <w:pPr>
        <w:rPr>
          <w:rFonts w:cs="Arial"/>
          <w:b/>
          <w:i/>
          <w:color w:val="000000" w:themeColor="text1"/>
        </w:rPr>
      </w:pPr>
    </w:p>
    <w:p w14:paraId="5FF0E443" w14:textId="106B5684" w:rsidR="00CD4C7B" w:rsidRPr="006E13D1" w:rsidRDefault="00CD4C7B" w:rsidP="00CD4C7B">
      <w:pPr>
        <w:pStyle w:val="Heading1"/>
      </w:pPr>
      <w:r w:rsidRPr="006E13D1">
        <w:t>3</w:t>
      </w:r>
      <w:r w:rsidRPr="006E13D1">
        <w:tab/>
      </w:r>
      <w:r w:rsidR="00B74BFA">
        <w:t>Conclusions</w:t>
      </w:r>
    </w:p>
    <w:p w14:paraId="71E26BDA" w14:textId="77777777" w:rsidR="009844E0" w:rsidRDefault="00B74BFA" w:rsidP="009844E0">
      <w:r>
        <w:t xml:space="preserve">This document </w:t>
      </w:r>
      <w:r w:rsidR="009844E0">
        <w:t>discussed the issue of failing UE in deployments as proposed in Solution #2, i.e. with a host with multiple UEs. The proposal is made to study a possible fall-back solution that would allow redundancy paths to be be restored in the system as this would be especially important if single link reliability is not sufficient. In particular the following proposals are made</w:t>
      </w:r>
    </w:p>
    <w:p w14:paraId="4E04AA82" w14:textId="27630874" w:rsidR="009844E0" w:rsidRPr="00BC4E29" w:rsidRDefault="009844E0" w:rsidP="009844E0">
      <w:pPr>
        <w:rPr>
          <w:rFonts w:cs="Arial"/>
          <w:b/>
          <w:i/>
          <w:color w:val="000000" w:themeColor="text1"/>
        </w:rPr>
      </w:pPr>
      <w:r w:rsidRPr="00BC4E29">
        <w:rPr>
          <w:rFonts w:cs="Arial"/>
          <w:b/>
          <w:i/>
          <w:color w:val="000000" w:themeColor="text1"/>
        </w:rPr>
        <w:t>Proposal</w:t>
      </w:r>
      <w:r>
        <w:rPr>
          <w:rFonts w:cs="Arial"/>
          <w:b/>
          <w:i/>
          <w:color w:val="000000" w:themeColor="text1"/>
        </w:rPr>
        <w:t xml:space="preserve"> 1</w:t>
      </w:r>
      <w:r w:rsidRPr="00BC4E29">
        <w:rPr>
          <w:rFonts w:cs="Arial"/>
          <w:b/>
          <w:i/>
          <w:color w:val="000000" w:themeColor="text1"/>
        </w:rPr>
        <w:t xml:space="preserve">: It is proposed to </w:t>
      </w:r>
      <w:r w:rsidR="00C94ABE">
        <w:rPr>
          <w:rFonts w:cs="Arial"/>
          <w:b/>
          <w:i/>
          <w:color w:val="000000" w:themeColor="text1"/>
        </w:rPr>
        <w:t>consider</w:t>
      </w:r>
      <w:r w:rsidR="00C94ABE" w:rsidRPr="00BC4E29">
        <w:rPr>
          <w:rFonts w:cs="Arial"/>
          <w:b/>
          <w:i/>
          <w:color w:val="000000" w:themeColor="text1"/>
        </w:rPr>
        <w:t xml:space="preserve"> </w:t>
      </w:r>
      <w:r w:rsidRPr="00BC4E29">
        <w:rPr>
          <w:rFonts w:cs="Arial"/>
          <w:b/>
          <w:i/>
          <w:color w:val="000000" w:themeColor="text1"/>
        </w:rPr>
        <w:t>the problem of UE failure scenarios in deployments according to Solution #2</w:t>
      </w:r>
      <w:r w:rsidR="00E81537">
        <w:rPr>
          <w:rFonts w:cs="Arial"/>
          <w:b/>
          <w:i/>
          <w:color w:val="000000" w:themeColor="text1"/>
        </w:rPr>
        <w:t>.</w:t>
      </w:r>
      <w:r w:rsidRPr="00BC4E29">
        <w:rPr>
          <w:rFonts w:cs="Arial"/>
          <w:b/>
          <w:i/>
          <w:color w:val="000000" w:themeColor="text1"/>
        </w:rPr>
        <w:t xml:space="preserve"> </w:t>
      </w:r>
    </w:p>
    <w:p w14:paraId="6DE06FAB" w14:textId="3D01A4F9" w:rsidR="00E81537" w:rsidRDefault="00E81537" w:rsidP="00E81537">
      <w:pPr>
        <w:rPr>
          <w:rFonts w:cs="Arial"/>
          <w:b/>
          <w:i/>
          <w:color w:val="000000" w:themeColor="text1"/>
        </w:rPr>
      </w:pPr>
      <w:r>
        <w:rPr>
          <w:rFonts w:cs="Arial"/>
          <w:b/>
          <w:i/>
          <w:color w:val="000000" w:themeColor="text1"/>
        </w:rPr>
        <w:t>Proposal 2: It is proposed to</w:t>
      </w:r>
      <w:r w:rsidRPr="009D152B">
        <w:rPr>
          <w:rFonts w:cs="Arial"/>
          <w:b/>
          <w:i/>
          <w:color w:val="000000" w:themeColor="text1"/>
        </w:rPr>
        <w:t xml:space="preserve"> </w:t>
      </w:r>
      <w:r>
        <w:rPr>
          <w:rFonts w:cs="Arial"/>
          <w:b/>
          <w:i/>
          <w:color w:val="000000" w:themeColor="text1"/>
        </w:rPr>
        <w:t>discuss</w:t>
      </w:r>
      <w:r w:rsidRPr="009D152B">
        <w:rPr>
          <w:rFonts w:cs="Arial"/>
          <w:b/>
          <w:i/>
          <w:color w:val="000000" w:themeColor="text1"/>
        </w:rPr>
        <w:t xml:space="preserve"> whether enhancements to the system are needed to provide a fast recovery</w:t>
      </w:r>
      <w:r>
        <w:rPr>
          <w:rFonts w:cs="Arial"/>
          <w:b/>
          <w:i/>
          <w:color w:val="000000" w:themeColor="text1"/>
        </w:rPr>
        <w:t xml:space="preserve"> of redundant paths</w:t>
      </w:r>
      <w:r w:rsidRPr="009D152B">
        <w:rPr>
          <w:rFonts w:cs="Arial"/>
          <w:b/>
          <w:i/>
          <w:color w:val="000000" w:themeColor="text1"/>
        </w:rPr>
        <w:t xml:space="preserve"> from such failure scenario </w:t>
      </w:r>
      <w:r>
        <w:rPr>
          <w:rFonts w:cs="Arial"/>
          <w:b/>
          <w:i/>
          <w:color w:val="000000" w:themeColor="text1"/>
        </w:rPr>
        <w:t>to enable the remaining UE to provide the redundant path via dual connectivity</w:t>
      </w:r>
      <w:r w:rsidRPr="009D152B">
        <w:rPr>
          <w:rFonts w:cs="Arial"/>
          <w:b/>
          <w:i/>
          <w:color w:val="000000" w:themeColor="text1"/>
        </w:rPr>
        <w:t>.</w:t>
      </w:r>
    </w:p>
    <w:p w14:paraId="274B05E0" w14:textId="3597AD12" w:rsidR="009844E0" w:rsidRDefault="009844E0" w:rsidP="009844E0">
      <w:pPr>
        <w:rPr>
          <w:rFonts w:cs="Arial"/>
          <w:b/>
          <w:i/>
          <w:color w:val="000000" w:themeColor="text1"/>
        </w:rPr>
      </w:pPr>
    </w:p>
    <w:p w14:paraId="73586CAA" w14:textId="5DDAF415" w:rsidR="00471E47" w:rsidRPr="00C94ABE" w:rsidRDefault="00471E47" w:rsidP="009844E0">
      <w:pPr>
        <w:rPr>
          <w:rFonts w:cs="Arial"/>
          <w:b/>
          <w:i/>
          <w:color w:val="000000" w:themeColor="text1"/>
        </w:rPr>
      </w:pPr>
      <w:r>
        <w:rPr>
          <w:rFonts w:cs="Arial"/>
          <w:b/>
          <w:i/>
          <w:color w:val="000000" w:themeColor="text1"/>
        </w:rPr>
        <w:t xml:space="preserve">Proposal 3: If one of the UE fails, </w:t>
      </w:r>
      <w:r w:rsidRPr="00806DCE">
        <w:rPr>
          <w:rFonts w:cs="Arial"/>
          <w:b/>
          <w:i/>
          <w:color w:val="000000" w:themeColor="text1"/>
        </w:rPr>
        <w:t xml:space="preserve">it should be possible to establish the dual connectivity not only with the RAN nodes associated with the remaining UE’s RSN, but also with </w:t>
      </w:r>
      <w:r w:rsidR="003D240E">
        <w:rPr>
          <w:rFonts w:cs="Arial"/>
          <w:b/>
          <w:i/>
          <w:color w:val="000000" w:themeColor="text1"/>
        </w:rPr>
        <w:t>failed</w:t>
      </w:r>
      <w:r w:rsidRPr="00806DCE">
        <w:rPr>
          <w:rFonts w:cs="Arial"/>
          <w:b/>
          <w:i/>
          <w:color w:val="000000" w:themeColor="text1"/>
        </w:rPr>
        <w:t xml:space="preserve"> UE’s RSN.</w:t>
      </w:r>
    </w:p>
    <w:p w14:paraId="190C81D1" w14:textId="7036B93D" w:rsidR="00CD4C7B" w:rsidRPr="0030599D" w:rsidRDefault="00B74BFA" w:rsidP="00CD4C7B">
      <w:pPr>
        <w:rPr>
          <w:b/>
        </w:rPr>
      </w:pPr>
      <w:r w:rsidRPr="0030599D">
        <w:rPr>
          <w:b/>
        </w:rPr>
        <w:t xml:space="preserve"> </w:t>
      </w:r>
    </w:p>
    <w:p w14:paraId="0FDCFAC2" w14:textId="77777777" w:rsidR="00CD4C7B" w:rsidRPr="006E13D1" w:rsidRDefault="00CD4C7B" w:rsidP="00CD4C7B">
      <w:pPr>
        <w:pStyle w:val="Heading1"/>
      </w:pPr>
      <w:r w:rsidRPr="006E13D1">
        <w:t>References</w:t>
      </w:r>
    </w:p>
    <w:p w14:paraId="2B8C910F" w14:textId="2DEF0F2F" w:rsidR="00CD4C7B" w:rsidRPr="006E13D1" w:rsidRDefault="0090466A" w:rsidP="009156D1">
      <w:pPr>
        <w:numPr>
          <w:ilvl w:val="0"/>
          <w:numId w:val="4"/>
        </w:numPr>
        <w:overflowPunct w:val="0"/>
        <w:autoSpaceDE w:val="0"/>
        <w:autoSpaceDN w:val="0"/>
        <w:adjustRightInd w:val="0"/>
        <w:textAlignment w:val="baseline"/>
      </w:pPr>
      <w:bookmarkStart w:id="1" w:name="_Ref529964529"/>
      <w:bookmarkStart w:id="2" w:name="_Ref75086397"/>
      <w:r>
        <w:t xml:space="preserve">3GPP </w:t>
      </w:r>
      <w:r w:rsidR="009156D1">
        <w:t>TR 23.725</w:t>
      </w:r>
      <w:r w:rsidR="00CD4C7B" w:rsidRPr="006E13D1">
        <w:t xml:space="preserve"> </w:t>
      </w:r>
      <w:r w:rsidR="009156D1" w:rsidRPr="009156D1">
        <w:rPr>
          <w:i/>
          <w:iCs/>
        </w:rPr>
        <w:t>Study on enhancement of Ultra-Reliable Low-Latency Communication (URLLC) support in the 5G Core network</w:t>
      </w:r>
      <w:bookmarkEnd w:id="1"/>
    </w:p>
    <w:bookmarkEnd w:id="2"/>
    <w:p w14:paraId="5524F183" w14:textId="77777777" w:rsidR="00CD4C7B" w:rsidRPr="006E13D1" w:rsidRDefault="00CD4C7B" w:rsidP="00CD4C7B"/>
    <w:p w14:paraId="5B95402B" w14:textId="77777777" w:rsidR="00653649" w:rsidRPr="00224F1E" w:rsidRDefault="00653649" w:rsidP="00224F1E"/>
    <w:sectPr w:rsidR="00653649" w:rsidRPr="00224F1E" w:rsidSect="005B7E74">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7DED9F" w14:textId="77777777" w:rsidR="000B48D9" w:rsidRDefault="000B48D9">
      <w:r>
        <w:separator/>
      </w:r>
    </w:p>
  </w:endnote>
  <w:endnote w:type="continuationSeparator" w:id="0">
    <w:p w14:paraId="0D1D4BBF" w14:textId="77777777" w:rsidR="000B48D9" w:rsidRDefault="000B48D9">
      <w:r>
        <w:continuationSeparator/>
      </w:r>
    </w:p>
  </w:endnote>
  <w:endnote w:type="continuationNotice" w:id="1">
    <w:p w14:paraId="003C749D" w14:textId="77777777" w:rsidR="000B48D9" w:rsidRDefault="000B48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6D7300" w14:textId="77777777" w:rsidR="000B48D9" w:rsidRDefault="000B48D9">
      <w:r>
        <w:separator/>
      </w:r>
    </w:p>
  </w:footnote>
  <w:footnote w:type="continuationSeparator" w:id="0">
    <w:p w14:paraId="0605FA30" w14:textId="77777777" w:rsidR="000B48D9" w:rsidRDefault="000B48D9">
      <w:r>
        <w:continuationSeparator/>
      </w:r>
    </w:p>
  </w:footnote>
  <w:footnote w:type="continuationNotice" w:id="1">
    <w:p w14:paraId="1225A26C" w14:textId="77777777" w:rsidR="000B48D9" w:rsidRDefault="000B48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778AB"/>
    <w:rsid w:val="00080512"/>
    <w:rsid w:val="00090468"/>
    <w:rsid w:val="000A7125"/>
    <w:rsid w:val="000B093F"/>
    <w:rsid w:val="000B48D9"/>
    <w:rsid w:val="000B7BCF"/>
    <w:rsid w:val="000C0509"/>
    <w:rsid w:val="000C522B"/>
    <w:rsid w:val="000D58AB"/>
    <w:rsid w:val="000D67CB"/>
    <w:rsid w:val="000F7B2D"/>
    <w:rsid w:val="00112F1A"/>
    <w:rsid w:val="00123085"/>
    <w:rsid w:val="00145075"/>
    <w:rsid w:val="001741A0"/>
    <w:rsid w:val="00175FA0"/>
    <w:rsid w:val="00194CD0"/>
    <w:rsid w:val="001A129D"/>
    <w:rsid w:val="001B49C9"/>
    <w:rsid w:val="001C1893"/>
    <w:rsid w:val="001C4F79"/>
    <w:rsid w:val="001F168B"/>
    <w:rsid w:val="001F7831"/>
    <w:rsid w:val="001F7B00"/>
    <w:rsid w:val="00204045"/>
    <w:rsid w:val="00204C91"/>
    <w:rsid w:val="0020712B"/>
    <w:rsid w:val="00224F1E"/>
    <w:rsid w:val="0022606D"/>
    <w:rsid w:val="00231728"/>
    <w:rsid w:val="002610D8"/>
    <w:rsid w:val="002747EC"/>
    <w:rsid w:val="002855BF"/>
    <w:rsid w:val="002D4CC1"/>
    <w:rsid w:val="002F0D22"/>
    <w:rsid w:val="0030599D"/>
    <w:rsid w:val="00311485"/>
    <w:rsid w:val="003172DC"/>
    <w:rsid w:val="00324292"/>
    <w:rsid w:val="00325AE3"/>
    <w:rsid w:val="00326069"/>
    <w:rsid w:val="0035462D"/>
    <w:rsid w:val="003633C7"/>
    <w:rsid w:val="00364B41"/>
    <w:rsid w:val="00367C98"/>
    <w:rsid w:val="00370C9D"/>
    <w:rsid w:val="003A41EF"/>
    <w:rsid w:val="003B40AD"/>
    <w:rsid w:val="003C4E37"/>
    <w:rsid w:val="003D240E"/>
    <w:rsid w:val="003D7327"/>
    <w:rsid w:val="003E16BE"/>
    <w:rsid w:val="003E5D1B"/>
    <w:rsid w:val="003F4E28"/>
    <w:rsid w:val="004006E8"/>
    <w:rsid w:val="00401855"/>
    <w:rsid w:val="00450F7E"/>
    <w:rsid w:val="00467214"/>
    <w:rsid w:val="00471E47"/>
    <w:rsid w:val="00473422"/>
    <w:rsid w:val="00477455"/>
    <w:rsid w:val="0049295B"/>
    <w:rsid w:val="0049556C"/>
    <w:rsid w:val="004A1F7B"/>
    <w:rsid w:val="004B6402"/>
    <w:rsid w:val="004C44D2"/>
    <w:rsid w:val="004D05D4"/>
    <w:rsid w:val="004D3578"/>
    <w:rsid w:val="004D380D"/>
    <w:rsid w:val="004D7BD2"/>
    <w:rsid w:val="004E11C1"/>
    <w:rsid w:val="004E213A"/>
    <w:rsid w:val="004F78CB"/>
    <w:rsid w:val="00503171"/>
    <w:rsid w:val="00506C28"/>
    <w:rsid w:val="00515E05"/>
    <w:rsid w:val="00534DA0"/>
    <w:rsid w:val="00541873"/>
    <w:rsid w:val="00543E6C"/>
    <w:rsid w:val="00565087"/>
    <w:rsid w:val="0056573F"/>
    <w:rsid w:val="0058514D"/>
    <w:rsid w:val="005A680C"/>
    <w:rsid w:val="005B7E74"/>
    <w:rsid w:val="005E0ED7"/>
    <w:rsid w:val="005F7CBE"/>
    <w:rsid w:val="0060079C"/>
    <w:rsid w:val="0060301C"/>
    <w:rsid w:val="00611566"/>
    <w:rsid w:val="006441E3"/>
    <w:rsid w:val="00646D99"/>
    <w:rsid w:val="00653649"/>
    <w:rsid w:val="00656910"/>
    <w:rsid w:val="00667BCE"/>
    <w:rsid w:val="00687B69"/>
    <w:rsid w:val="006C385B"/>
    <w:rsid w:val="006C66D8"/>
    <w:rsid w:val="006C6D64"/>
    <w:rsid w:val="006D1E24"/>
    <w:rsid w:val="006D3382"/>
    <w:rsid w:val="006E1417"/>
    <w:rsid w:val="006F6A2C"/>
    <w:rsid w:val="00703691"/>
    <w:rsid w:val="00710201"/>
    <w:rsid w:val="0072231D"/>
    <w:rsid w:val="007342B5"/>
    <w:rsid w:val="00734A5B"/>
    <w:rsid w:val="00744E76"/>
    <w:rsid w:val="00757D40"/>
    <w:rsid w:val="007809C8"/>
    <w:rsid w:val="00781F0F"/>
    <w:rsid w:val="007846D4"/>
    <w:rsid w:val="0078727C"/>
    <w:rsid w:val="0079049D"/>
    <w:rsid w:val="00793DC5"/>
    <w:rsid w:val="007B18D8"/>
    <w:rsid w:val="007C095F"/>
    <w:rsid w:val="007C2DD0"/>
    <w:rsid w:val="007D2ED7"/>
    <w:rsid w:val="007F0FAD"/>
    <w:rsid w:val="008028A4"/>
    <w:rsid w:val="00804043"/>
    <w:rsid w:val="00813245"/>
    <w:rsid w:val="00813C72"/>
    <w:rsid w:val="008768CA"/>
    <w:rsid w:val="00877EF9"/>
    <w:rsid w:val="00880559"/>
    <w:rsid w:val="00883E4E"/>
    <w:rsid w:val="008B36CD"/>
    <w:rsid w:val="008B5306"/>
    <w:rsid w:val="008D2E4D"/>
    <w:rsid w:val="008E4E04"/>
    <w:rsid w:val="008F396F"/>
    <w:rsid w:val="0090271F"/>
    <w:rsid w:val="00902DB9"/>
    <w:rsid w:val="0090466A"/>
    <w:rsid w:val="00914AAB"/>
    <w:rsid w:val="009156D1"/>
    <w:rsid w:val="00932B66"/>
    <w:rsid w:val="00936071"/>
    <w:rsid w:val="00940212"/>
    <w:rsid w:val="00942EC2"/>
    <w:rsid w:val="0095713A"/>
    <w:rsid w:val="00961B32"/>
    <w:rsid w:val="0096780D"/>
    <w:rsid w:val="0096791E"/>
    <w:rsid w:val="00970DB3"/>
    <w:rsid w:val="00974BB0"/>
    <w:rsid w:val="009844E0"/>
    <w:rsid w:val="00986D78"/>
    <w:rsid w:val="009A0AF3"/>
    <w:rsid w:val="009B07CD"/>
    <w:rsid w:val="009C19E9"/>
    <w:rsid w:val="009C1DEA"/>
    <w:rsid w:val="009D152B"/>
    <w:rsid w:val="009D74A6"/>
    <w:rsid w:val="00A03B89"/>
    <w:rsid w:val="00A10F02"/>
    <w:rsid w:val="00A204CA"/>
    <w:rsid w:val="00A53724"/>
    <w:rsid w:val="00A76188"/>
    <w:rsid w:val="00A82346"/>
    <w:rsid w:val="00A9671C"/>
    <w:rsid w:val="00AA1553"/>
    <w:rsid w:val="00B05962"/>
    <w:rsid w:val="00B13556"/>
    <w:rsid w:val="00B15449"/>
    <w:rsid w:val="00B2363B"/>
    <w:rsid w:val="00B27303"/>
    <w:rsid w:val="00B44BF4"/>
    <w:rsid w:val="00B47FD1"/>
    <w:rsid w:val="00B516BB"/>
    <w:rsid w:val="00B62408"/>
    <w:rsid w:val="00B63093"/>
    <w:rsid w:val="00B74BFA"/>
    <w:rsid w:val="00B86BB5"/>
    <w:rsid w:val="00BB1154"/>
    <w:rsid w:val="00BC3555"/>
    <w:rsid w:val="00C11208"/>
    <w:rsid w:val="00C12B51"/>
    <w:rsid w:val="00C226F1"/>
    <w:rsid w:val="00C23174"/>
    <w:rsid w:val="00C24650"/>
    <w:rsid w:val="00C25465"/>
    <w:rsid w:val="00C33079"/>
    <w:rsid w:val="00C43690"/>
    <w:rsid w:val="00C627CD"/>
    <w:rsid w:val="00C76289"/>
    <w:rsid w:val="00C83A13"/>
    <w:rsid w:val="00C845F7"/>
    <w:rsid w:val="00C9068C"/>
    <w:rsid w:val="00C92967"/>
    <w:rsid w:val="00C94ABE"/>
    <w:rsid w:val="00CA360D"/>
    <w:rsid w:val="00CA3D0C"/>
    <w:rsid w:val="00CA654B"/>
    <w:rsid w:val="00CB72B8"/>
    <w:rsid w:val="00CD4C7B"/>
    <w:rsid w:val="00CE399A"/>
    <w:rsid w:val="00CF0C8F"/>
    <w:rsid w:val="00CF333F"/>
    <w:rsid w:val="00D26EE0"/>
    <w:rsid w:val="00D33BE3"/>
    <w:rsid w:val="00D3792D"/>
    <w:rsid w:val="00D42889"/>
    <w:rsid w:val="00D53826"/>
    <w:rsid w:val="00D5564A"/>
    <w:rsid w:val="00D55E47"/>
    <w:rsid w:val="00D62E19"/>
    <w:rsid w:val="00D67CD1"/>
    <w:rsid w:val="00D738D6"/>
    <w:rsid w:val="00D80795"/>
    <w:rsid w:val="00D8418E"/>
    <w:rsid w:val="00D854BE"/>
    <w:rsid w:val="00D85502"/>
    <w:rsid w:val="00D857FF"/>
    <w:rsid w:val="00D87E00"/>
    <w:rsid w:val="00D9134D"/>
    <w:rsid w:val="00D960C7"/>
    <w:rsid w:val="00D96D11"/>
    <w:rsid w:val="00DA32F6"/>
    <w:rsid w:val="00DA7A03"/>
    <w:rsid w:val="00DB0DB8"/>
    <w:rsid w:val="00DB1818"/>
    <w:rsid w:val="00DC309B"/>
    <w:rsid w:val="00DC4DA2"/>
    <w:rsid w:val="00E258EA"/>
    <w:rsid w:val="00E471CF"/>
    <w:rsid w:val="00E62835"/>
    <w:rsid w:val="00E77645"/>
    <w:rsid w:val="00E81537"/>
    <w:rsid w:val="00E83697"/>
    <w:rsid w:val="00EC4A25"/>
    <w:rsid w:val="00ED7057"/>
    <w:rsid w:val="00F024C6"/>
    <w:rsid w:val="00F025A2"/>
    <w:rsid w:val="00F07388"/>
    <w:rsid w:val="00F2026E"/>
    <w:rsid w:val="00F21BCC"/>
    <w:rsid w:val="00F2210A"/>
    <w:rsid w:val="00F37743"/>
    <w:rsid w:val="00F430AC"/>
    <w:rsid w:val="00F54A3D"/>
    <w:rsid w:val="00F54CB0"/>
    <w:rsid w:val="00F60C54"/>
    <w:rsid w:val="00F64220"/>
    <w:rsid w:val="00F653B8"/>
    <w:rsid w:val="00F71B89"/>
    <w:rsid w:val="00F7353C"/>
    <w:rsid w:val="00F75C23"/>
    <w:rsid w:val="00F76F8F"/>
    <w:rsid w:val="00F941DF"/>
    <w:rsid w:val="00FA1266"/>
    <w:rsid w:val="00FB36FA"/>
    <w:rsid w:val="00FC1192"/>
    <w:rsid w:val="00FE251B"/>
    <w:rsid w:val="0FB071A1"/>
    <w:rsid w:val="124D9DA5"/>
    <w:rsid w:val="1337F04B"/>
    <w:rsid w:val="13ADD53A"/>
    <w:rsid w:val="1B09C0C9"/>
    <w:rsid w:val="1DDBE294"/>
    <w:rsid w:val="21B7F3AD"/>
    <w:rsid w:val="2835AF2F"/>
    <w:rsid w:val="3418CABA"/>
    <w:rsid w:val="3720592E"/>
    <w:rsid w:val="3C222792"/>
    <w:rsid w:val="3F51345B"/>
    <w:rsid w:val="43D0D033"/>
    <w:rsid w:val="495901A7"/>
    <w:rsid w:val="4B5B2312"/>
    <w:rsid w:val="4BFE0FC5"/>
    <w:rsid w:val="503CF2D9"/>
    <w:rsid w:val="514AC8ED"/>
    <w:rsid w:val="524E577A"/>
    <w:rsid w:val="5B45D442"/>
    <w:rsid w:val="5EBE0B27"/>
    <w:rsid w:val="5EF7A78F"/>
    <w:rsid w:val="64A86C70"/>
    <w:rsid w:val="6C2AEF25"/>
    <w:rsid w:val="719F878E"/>
    <w:rsid w:val="73EF80C8"/>
    <w:rsid w:val="742CBD02"/>
    <w:rsid w:val="75D024DB"/>
    <w:rsid w:val="7644BC49"/>
    <w:rsid w:val="77A5D376"/>
    <w:rsid w:val="7CD05D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CommentReference">
    <w:name w:val="annotation reference"/>
    <w:basedOn w:val="DefaultParagraphFont"/>
    <w:rsid w:val="00CA360D"/>
    <w:rPr>
      <w:sz w:val="16"/>
      <w:szCs w:val="16"/>
    </w:rPr>
  </w:style>
  <w:style w:type="paragraph" w:styleId="CommentText">
    <w:name w:val="annotation text"/>
    <w:basedOn w:val="Normal"/>
    <w:link w:val="CommentTextChar"/>
    <w:rsid w:val="00CA360D"/>
  </w:style>
  <w:style w:type="character" w:customStyle="1" w:styleId="CommentTextChar">
    <w:name w:val="Comment Text Char"/>
    <w:basedOn w:val="DefaultParagraphFont"/>
    <w:link w:val="CommentText"/>
    <w:rsid w:val="00CA360D"/>
    <w:rPr>
      <w:lang w:eastAsia="en-US"/>
    </w:rPr>
  </w:style>
  <w:style w:type="paragraph" w:styleId="CommentSubject">
    <w:name w:val="annotation subject"/>
    <w:basedOn w:val="CommentText"/>
    <w:next w:val="CommentText"/>
    <w:link w:val="CommentSubjectChar"/>
    <w:rsid w:val="00CA360D"/>
    <w:rPr>
      <w:b/>
      <w:bCs/>
    </w:rPr>
  </w:style>
  <w:style w:type="character" w:customStyle="1" w:styleId="CommentSubjectChar">
    <w:name w:val="Comment Subject Char"/>
    <w:basedOn w:val="CommentTextChar"/>
    <w:link w:val="CommentSubject"/>
    <w:rsid w:val="00CA360D"/>
    <w:rPr>
      <w:b/>
      <w:bCs/>
      <w:lang w:eastAsia="en-US"/>
    </w:rPr>
  </w:style>
  <w:style w:type="character" w:customStyle="1" w:styleId="B2Char">
    <w:name w:val="B2 Char"/>
    <w:link w:val="B2"/>
    <w:rsid w:val="004B640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5AIRPNAIUNRU-859666464-3999</_dlc_DocId>
    <_dlc_DocIdUrl xmlns="71c5aaf6-e6ce-465b-b873-5148d2a4c105">
      <Url>https://nokia.sharepoint.com/sites/c5g/e2earch/_layouts/15/DocIdRedir.aspx?ID=5AIRPNAIUNRU-859666464-3999</Url>
      <Description>5AIRPNAIUNRU-859666464-3999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F7B6458C-4442-485E-B52F-E9C051343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1</Pages>
  <Words>986</Words>
  <Characters>5621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6594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Navratil, David (Nokia - FI/Espoo)</dc:creator>
  <cp:lastModifiedBy>Nokia</cp:lastModifiedBy>
  <cp:revision>6</cp:revision>
  <dcterms:created xsi:type="dcterms:W3CDTF">2019-04-01T10:28:00Z</dcterms:created>
  <dcterms:modified xsi:type="dcterms:W3CDTF">2019-04-02T10:27:00Z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22878fef-d9e6-4806-889b-02fe857ff436</vt:lpwstr>
  </property>
</Properties>
</file>